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990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Мир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Малкова Михаила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Нефтеганское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 - филиал ООО «РПНГ»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4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9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15.33</w:t>
      </w:r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Малков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Нефтеганское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 - филиал ООО «РПНГ»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Проезд 8П, стр.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 по форме ЕФС-1 раздел 1.2 (назначение пенсии)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sz w:val="26"/>
          <w:szCs w:val="26"/>
        </w:rPr>
        <w:t>01.04.1996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-ФЗ «</w:t>
      </w:r>
      <w:r>
        <w:rPr>
          <w:rFonts w:ascii="Times New Roman" w:eastAsia="Times New Roman" w:hAnsi="Times New Roman" w:cs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подачи застрахованным лицом заявления об установлении страховой пенсии, </w:t>
      </w:r>
      <w:r>
        <w:rPr>
          <w:rFonts w:ascii="Times New Roman" w:eastAsia="Times New Roman" w:hAnsi="Times New Roman" w:cs="Times New Roman"/>
          <w:sz w:val="26"/>
          <w:szCs w:val="26"/>
        </w:rPr>
        <w:t>накопительной пенсии, срочной пенсионной выплаты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единовременной выплаты средств пенсионных накоплений, страхователь представляет в течение трех календарных дней со дня поступления к страхователю запроса органа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СФР по форме ЕФС-1 раздел 1.2 в отношении застрахованного лица, подавшего в СФР заявление.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Датой получения страхователем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казанного запроса в электронном виде, с учетом положений Порядка электронного документооборота между страхователями и фондом пенсионного и социального страхования Российской Федерации при представлении сведений индивидуального (персонифицированного) учета, утвержденного постановлением Правления ПФР от 11 марта 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№ 178п, считается дата, указанная в электронном документе.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запросом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отчета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</w:t>
      </w:r>
      <w:r>
        <w:rPr>
          <w:rFonts w:ascii="Times New Roman" w:eastAsia="Times New Roman" w:hAnsi="Times New Roman" w:cs="Times New Roman"/>
          <w:sz w:val="26"/>
          <w:szCs w:val="26"/>
        </w:rPr>
        <w:t>-1 раздел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подраздел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(назначение пенсии)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eastAsia="Times New Roman" w:hAnsi="Times New Roman" w:cs="Times New Roman"/>
          <w:sz w:val="26"/>
          <w:szCs w:val="26"/>
        </w:rPr>
        <w:t>24 час. 00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Однако сведения представлены о страховом стаже застрахованного лица за отчетный период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-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то есть с нарушением установленного срока.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Малков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Малкова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исследовав материалы дела, считает, что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Малкова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2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Малков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своевременно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в установленный законодательством Российской Федерации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 по форме ЕФС-1 раздел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подраздел </w:t>
      </w:r>
      <w:r>
        <w:rPr>
          <w:rFonts w:ascii="Times New Roman" w:eastAsia="Times New Roman" w:hAnsi="Times New Roman" w:cs="Times New Roman"/>
          <w:sz w:val="26"/>
          <w:szCs w:val="26"/>
        </w:rPr>
        <w:t>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(назначение пенсии)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 час. 00 мин.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ЕГРЮЛ;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запросом о предоставлении страхователем сведений </w:t>
      </w:r>
      <w:r>
        <w:rPr>
          <w:rFonts w:ascii="Times New Roman" w:eastAsia="Times New Roman" w:hAnsi="Times New Roman" w:cs="Times New Roman"/>
          <w:sz w:val="26"/>
          <w:szCs w:val="26"/>
        </w:rPr>
        <w:t>о застрахованном лице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>с типом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назначение пенсии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адрес </w:t>
      </w:r>
      <w:r>
        <w:rPr>
          <w:rFonts w:ascii="Times New Roman" w:eastAsia="Times New Roman" w:hAnsi="Times New Roman" w:cs="Times New Roman"/>
          <w:sz w:val="26"/>
          <w:szCs w:val="26"/>
        </w:rPr>
        <w:t>Нефтеганское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 - филиал ООО «РПНГ»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Дата формирования запроса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ПУ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ЕФС-1 раздел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типом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(назначение пенсии)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актом о выявлении 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постановления мирового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ХМАО-Югры №</w:t>
      </w:r>
      <w:r>
        <w:rPr>
          <w:rStyle w:val="cat-UserDefinedgrp-45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Малков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привлечен к административной ответственности по ч. 1 ст. 15.33.2 КоАП РФ.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2 ст. 11 Федерального Закона от 01.04.1996 г. № 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подачи застрахованным лицом заявления об установлении страховой пенсии, </w:t>
      </w:r>
      <w:r>
        <w:rPr>
          <w:rFonts w:ascii="Times New Roman" w:eastAsia="Times New Roman" w:hAnsi="Times New Roman" w:cs="Times New Roman"/>
          <w:sz w:val="26"/>
          <w:szCs w:val="26"/>
        </w:rPr>
        <w:t>накопительной пенсии, срочной пенсионной выплаты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единовременной выплаты средств пенсионных накоплений, страхователь представляет в течение трех календарных дней со дня поступления к страхователю запроса органа Пенсионного фонда Российской Федерации либо обращения застрахованного лица к страхователю в порядке, предусмотренном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hyperlink r:id="rId4" w:anchor="/document/76806401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Федерального закона.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Малкова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15.33.2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Малкова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ранее привлекавшегося к административной ответственности по ч. 1 ст. 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29.9 ч.1, 29.10, 30.1</w:t>
      </w:r>
      <w:r>
        <w:rPr>
          <w:rFonts w:ascii="Times New Roman" w:eastAsia="Times New Roman" w:hAnsi="Times New Roman" w:cs="Times New Roman"/>
          <w:sz w:val="26"/>
          <w:szCs w:val="26"/>
        </w:rPr>
        <w:t>,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</w:t>
      </w:r>
      <w:r>
        <w:rPr>
          <w:rFonts w:ascii="Times New Roman" w:eastAsia="Times New Roman" w:hAnsi="Times New Roman" w:cs="Times New Roman"/>
          <w:sz w:val="26"/>
          <w:szCs w:val="26"/>
        </w:rPr>
        <w:t>ации об административных правонарушениях, судья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Нефтеганское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 - филиал ООО «РПНГ»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Малкова Михаила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15.33</w:t>
      </w:r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четыреста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Реквизиты для оплаты штрафа: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Ханты-Мансийск//У</w:t>
      </w:r>
      <w:r>
        <w:rPr>
          <w:rFonts w:ascii="Times New Roman" w:eastAsia="Times New Roman" w:hAnsi="Times New Roman" w:cs="Times New Roman"/>
          <w:sz w:val="26"/>
          <w:szCs w:val="26"/>
        </w:rPr>
        <w:t>ФК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по Ханты-Мансийскому автономному округу - Югре г. 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007162163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получателя платежа (номер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Р/счет) - 03100643000000018700;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Номер счета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банка получателя (номер банковского счета, входящего в состав единого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40102810245370000007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- </w:t>
      </w:r>
      <w:r>
        <w:rPr>
          <w:rFonts w:ascii="Times New Roman" w:eastAsia="Times New Roman" w:hAnsi="Times New Roman" w:cs="Times New Roman"/>
        </w:rPr>
        <w:t>УФК по Ханты-Мансийскому автономному округу - Югре (ОСФР по ХМАО - Югре, л/с 04874Ф87010)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</w:rPr>
        <w:t>8601002078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КПП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получателя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860101001,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ОКТМО – 7187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000, </w:t>
      </w:r>
      <w:r>
        <w:rPr>
          <w:rFonts w:ascii="Times New Roman" w:eastAsia="Times New Roman" w:hAnsi="Times New Roman" w:cs="Times New Roman"/>
        </w:rPr>
        <w:t>КБК 79711601230060001140, УИН 79702700000000</w:t>
      </w:r>
      <w:r>
        <w:rPr>
          <w:rFonts w:ascii="Times New Roman" w:eastAsia="Times New Roman" w:hAnsi="Times New Roman" w:cs="Times New Roman"/>
        </w:rPr>
        <w:t>209421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 – Мансийского автономного округа –Югры, в течение десяти суток со дня получения копи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постановления,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1134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</w:pPr>
      <w:r>
        <w:rPr>
          <w:rStyle w:val="cat-UserDefinedgrp-44rplc-7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8rplc-7">
    <w:name w:val="cat-ExternalSystemDefined grp-38 rplc-7"/>
    <w:basedOn w:val="DefaultParagraphFont"/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UserDefinedgrp-40rplc-9">
    <w:name w:val="cat-UserDefined grp-40 rplc-9"/>
    <w:basedOn w:val="DefaultParagraphFont"/>
  </w:style>
  <w:style w:type="character" w:customStyle="1" w:styleId="cat-UserDefinedgrp-41rplc-12">
    <w:name w:val="cat-UserDefined grp-41 rplc-12"/>
    <w:basedOn w:val="DefaultParagraphFont"/>
  </w:style>
  <w:style w:type="character" w:customStyle="1" w:styleId="cat-PassportDatagrp-29rplc-14">
    <w:name w:val="cat-PassportData grp-29 rplc-14"/>
    <w:basedOn w:val="DefaultParagraphFont"/>
  </w:style>
  <w:style w:type="character" w:customStyle="1" w:styleId="cat-ExternalSystemDefinedgrp-37rplc-15">
    <w:name w:val="cat-ExternalSystemDefined grp-37 rplc-15"/>
    <w:basedOn w:val="DefaultParagraphFont"/>
  </w:style>
  <w:style w:type="character" w:customStyle="1" w:styleId="cat-ExternalSystemDefinedgrp-39rplc-16">
    <w:name w:val="cat-ExternalSystemDefined grp-39 rplc-16"/>
    <w:basedOn w:val="DefaultParagraphFont"/>
  </w:style>
  <w:style w:type="character" w:customStyle="1" w:styleId="cat-UserDefinedgrp-42rplc-37">
    <w:name w:val="cat-UserDefined grp-42 rplc-37"/>
    <w:basedOn w:val="DefaultParagraphFont"/>
  </w:style>
  <w:style w:type="character" w:customStyle="1" w:styleId="cat-UserDefinedgrp-45rplc-50">
    <w:name w:val="cat-UserDefined grp-45 rplc-50"/>
    <w:basedOn w:val="DefaultParagraphFont"/>
  </w:style>
  <w:style w:type="character" w:customStyle="1" w:styleId="cat-UserDefinedgrp-43rplc-71">
    <w:name w:val="cat-UserDefined grp-43 rplc-71"/>
    <w:basedOn w:val="DefaultParagraphFont"/>
  </w:style>
  <w:style w:type="character" w:customStyle="1" w:styleId="cat-UserDefinedgrp-44rplc-74">
    <w:name w:val="cat-UserDefined grp-44 rplc-7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